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A2B" w:rsidRDefault="00CE7A19" w:rsidP="00562066">
      <w:pPr>
        <w:ind w:firstLine="0"/>
        <w:contextualSpacing/>
        <w:jc w:val="center"/>
        <w:rPr>
          <w:rFonts w:ascii="Times New Roman" w:hAnsi="Times New Roman" w:cs="Times New Roman"/>
          <w:b/>
          <w:sz w:val="24"/>
          <w:szCs w:val="24"/>
        </w:rPr>
      </w:pPr>
      <w:r>
        <w:rPr>
          <w:rFonts w:ascii="Times New Roman" w:hAnsi="Times New Roman" w:cs="Times New Roman"/>
          <w:b/>
          <w:sz w:val="24"/>
          <w:szCs w:val="24"/>
        </w:rPr>
        <w:tab/>
      </w:r>
    </w:p>
    <w:p w:rsidR="00F32A2B" w:rsidRDefault="00F32A2B" w:rsidP="00562066">
      <w:pPr>
        <w:ind w:firstLine="0"/>
        <w:contextualSpacing/>
        <w:jc w:val="center"/>
        <w:rPr>
          <w:rFonts w:ascii="Times New Roman" w:hAnsi="Times New Roman" w:cs="Times New Roman"/>
          <w:b/>
          <w:sz w:val="24"/>
          <w:szCs w:val="24"/>
        </w:rPr>
      </w:pPr>
    </w:p>
    <w:p w:rsidR="00F32A2B" w:rsidRDefault="00F32A2B" w:rsidP="00562066">
      <w:pPr>
        <w:ind w:firstLine="0"/>
        <w:contextualSpacing/>
        <w:jc w:val="center"/>
        <w:rPr>
          <w:rFonts w:ascii="Times New Roman" w:hAnsi="Times New Roman" w:cs="Times New Roman"/>
          <w:b/>
          <w:sz w:val="24"/>
          <w:szCs w:val="24"/>
        </w:rPr>
      </w:pPr>
    </w:p>
    <w:p w:rsidR="00F32A2B" w:rsidRDefault="00F32A2B" w:rsidP="00562066">
      <w:pPr>
        <w:ind w:firstLine="0"/>
        <w:contextualSpacing/>
        <w:jc w:val="center"/>
        <w:rPr>
          <w:rFonts w:ascii="Times New Roman" w:hAnsi="Times New Roman" w:cs="Times New Roman"/>
          <w:b/>
          <w:sz w:val="24"/>
          <w:szCs w:val="24"/>
        </w:rPr>
      </w:pPr>
    </w:p>
    <w:p w:rsidR="00F32A2B" w:rsidRDefault="00F32A2B" w:rsidP="00562066">
      <w:pPr>
        <w:ind w:firstLine="0"/>
        <w:contextualSpacing/>
        <w:jc w:val="center"/>
        <w:rPr>
          <w:rFonts w:ascii="Times New Roman" w:hAnsi="Times New Roman" w:cs="Times New Roman"/>
          <w:b/>
          <w:sz w:val="24"/>
          <w:szCs w:val="24"/>
        </w:rPr>
      </w:pPr>
    </w:p>
    <w:p w:rsidR="00562066" w:rsidRDefault="00CE7A19" w:rsidP="00F32A2B">
      <w:pPr>
        <w:ind w:firstLine="0"/>
        <w:contextualSpacing/>
        <w:jc w:val="center"/>
        <w:rPr>
          <w:rFonts w:ascii="Times New Roman" w:hAnsi="Times New Roman" w:cs="Times New Roman"/>
          <w:b/>
          <w:sz w:val="24"/>
          <w:szCs w:val="24"/>
        </w:rPr>
      </w:pPr>
      <w:r w:rsidRPr="00562066">
        <w:rPr>
          <w:rFonts w:ascii="Times New Roman" w:hAnsi="Times New Roman" w:cs="Times New Roman"/>
          <w:b/>
          <w:sz w:val="24"/>
          <w:szCs w:val="24"/>
        </w:rPr>
        <w:t>Quality Dimensions Worksheet</w:t>
      </w:r>
    </w:p>
    <w:p w:rsidR="00F32A2B" w:rsidRPr="00562066" w:rsidRDefault="00F32A2B" w:rsidP="00F32A2B">
      <w:pPr>
        <w:ind w:firstLine="0"/>
        <w:contextualSpacing/>
        <w:jc w:val="center"/>
        <w:rPr>
          <w:rFonts w:ascii="Times New Roman" w:hAnsi="Times New Roman" w:cs="Times New Roman"/>
          <w:b/>
          <w:sz w:val="24"/>
          <w:szCs w:val="24"/>
        </w:rPr>
      </w:pPr>
    </w:p>
    <w:p w:rsidR="00562066" w:rsidRPr="00F32A2B" w:rsidRDefault="00CE7A19" w:rsidP="00F32A2B">
      <w:pPr>
        <w:tabs>
          <w:tab w:val="left" w:pos="4545"/>
        </w:tabs>
        <w:ind w:firstLine="0"/>
        <w:jc w:val="center"/>
        <w:rPr>
          <w:rFonts w:ascii="Times New Roman" w:hAnsi="Times New Roman" w:cs="Times New Roman"/>
          <w:sz w:val="24"/>
          <w:szCs w:val="24"/>
        </w:rPr>
      </w:pPr>
      <w:r w:rsidRPr="00F32A2B">
        <w:rPr>
          <w:rFonts w:ascii="Times New Roman" w:hAnsi="Times New Roman" w:cs="Times New Roman"/>
          <w:sz w:val="24"/>
          <w:szCs w:val="24"/>
        </w:rPr>
        <w:t>Student’s Name</w:t>
      </w:r>
    </w:p>
    <w:p w:rsidR="00F32A2B" w:rsidRPr="00F32A2B" w:rsidRDefault="00CE7A19" w:rsidP="00F32A2B">
      <w:pPr>
        <w:tabs>
          <w:tab w:val="left" w:pos="4545"/>
        </w:tabs>
        <w:ind w:firstLine="0"/>
        <w:jc w:val="center"/>
        <w:rPr>
          <w:rFonts w:ascii="Times New Roman" w:hAnsi="Times New Roman" w:cs="Times New Roman"/>
          <w:sz w:val="24"/>
          <w:szCs w:val="24"/>
        </w:rPr>
      </w:pPr>
      <w:r w:rsidRPr="00F32A2B">
        <w:rPr>
          <w:rFonts w:ascii="Times New Roman" w:hAnsi="Times New Roman" w:cs="Times New Roman"/>
          <w:sz w:val="24"/>
          <w:szCs w:val="24"/>
        </w:rPr>
        <w:t>Institutional Affiliation</w:t>
      </w:r>
    </w:p>
    <w:p w:rsidR="00F32A2B" w:rsidRPr="00F32A2B" w:rsidRDefault="00CE7A19" w:rsidP="00F32A2B">
      <w:pPr>
        <w:tabs>
          <w:tab w:val="left" w:pos="4545"/>
        </w:tabs>
        <w:ind w:firstLine="0"/>
        <w:jc w:val="center"/>
        <w:rPr>
          <w:rFonts w:ascii="Times New Roman" w:hAnsi="Times New Roman" w:cs="Times New Roman"/>
          <w:sz w:val="24"/>
          <w:szCs w:val="24"/>
        </w:rPr>
      </w:pPr>
      <w:r w:rsidRPr="00F32A2B">
        <w:rPr>
          <w:rFonts w:ascii="Times New Roman" w:hAnsi="Times New Roman" w:cs="Times New Roman"/>
          <w:sz w:val="24"/>
          <w:szCs w:val="24"/>
        </w:rPr>
        <w:t>Course Name &amp; Number</w:t>
      </w:r>
    </w:p>
    <w:p w:rsidR="00F32A2B" w:rsidRPr="00F32A2B" w:rsidRDefault="00CE7A19" w:rsidP="00F32A2B">
      <w:pPr>
        <w:tabs>
          <w:tab w:val="left" w:pos="4545"/>
        </w:tabs>
        <w:ind w:firstLine="0"/>
        <w:jc w:val="center"/>
        <w:rPr>
          <w:rFonts w:ascii="Times New Roman" w:hAnsi="Times New Roman" w:cs="Times New Roman"/>
          <w:sz w:val="24"/>
          <w:szCs w:val="24"/>
        </w:rPr>
      </w:pPr>
      <w:r w:rsidRPr="00F32A2B">
        <w:rPr>
          <w:rFonts w:ascii="Times New Roman" w:hAnsi="Times New Roman" w:cs="Times New Roman"/>
          <w:sz w:val="24"/>
          <w:szCs w:val="24"/>
        </w:rPr>
        <w:t>Instructor’s Name</w:t>
      </w:r>
    </w:p>
    <w:p w:rsidR="00F32A2B" w:rsidRPr="00F32A2B" w:rsidRDefault="00CE7A19" w:rsidP="00F32A2B">
      <w:pPr>
        <w:tabs>
          <w:tab w:val="left" w:pos="4545"/>
        </w:tabs>
        <w:ind w:firstLine="0"/>
        <w:jc w:val="center"/>
        <w:rPr>
          <w:rFonts w:ascii="Times New Roman" w:hAnsi="Times New Roman" w:cs="Times New Roman"/>
          <w:sz w:val="24"/>
          <w:szCs w:val="24"/>
        </w:rPr>
      </w:pPr>
      <w:r w:rsidRPr="00F32A2B">
        <w:rPr>
          <w:rFonts w:ascii="Times New Roman" w:hAnsi="Times New Roman" w:cs="Times New Roman"/>
          <w:sz w:val="24"/>
          <w:szCs w:val="24"/>
        </w:rPr>
        <w:t>Due Date</w:t>
      </w:r>
    </w:p>
    <w:p w:rsidR="00562066" w:rsidRDefault="00CE7A19" w:rsidP="00F32A2B">
      <w:pPr>
        <w:tabs>
          <w:tab w:val="left" w:pos="4545"/>
        </w:tabs>
        <w:jc w:val="center"/>
        <w:rPr>
          <w:rFonts w:ascii="Times New Roman" w:hAnsi="Times New Roman" w:cs="Times New Roman"/>
          <w:b/>
          <w:sz w:val="24"/>
          <w:szCs w:val="24"/>
        </w:rPr>
      </w:pPr>
      <w:r w:rsidRPr="00F32A2B">
        <w:rPr>
          <w:rFonts w:ascii="Times New Roman" w:hAnsi="Times New Roman" w:cs="Times New Roman"/>
          <w:sz w:val="24"/>
          <w:szCs w:val="24"/>
        </w:rPr>
        <w:br w:type="page"/>
      </w:r>
    </w:p>
    <w:p w:rsidR="00422AA3" w:rsidRPr="00562066" w:rsidRDefault="00CE7A19" w:rsidP="00562066">
      <w:pPr>
        <w:ind w:firstLine="0"/>
        <w:contextualSpacing/>
        <w:jc w:val="center"/>
        <w:rPr>
          <w:rFonts w:ascii="Times New Roman" w:hAnsi="Times New Roman" w:cs="Times New Roman"/>
          <w:b/>
          <w:sz w:val="24"/>
          <w:szCs w:val="24"/>
        </w:rPr>
      </w:pPr>
      <w:r w:rsidRPr="00562066">
        <w:rPr>
          <w:rFonts w:ascii="Times New Roman" w:hAnsi="Times New Roman" w:cs="Times New Roman"/>
          <w:b/>
          <w:sz w:val="24"/>
          <w:szCs w:val="24"/>
        </w:rPr>
        <w:lastRenderedPageBreak/>
        <w:t>Quality Dimensions Worksheet</w:t>
      </w:r>
    </w:p>
    <w:tbl>
      <w:tblPr>
        <w:tblW w:w="9355" w:type="dxa"/>
        <w:tblBorders>
          <w:top w:val="single" w:sz="4" w:space="0" w:color="4D3733"/>
          <w:left w:val="single" w:sz="4" w:space="0" w:color="4D3733"/>
          <w:bottom w:val="single" w:sz="4" w:space="0" w:color="4D3733"/>
          <w:right w:val="single" w:sz="4" w:space="0" w:color="4D3733"/>
          <w:insideH w:val="single" w:sz="4" w:space="0" w:color="4D3733"/>
          <w:insideV w:val="single" w:sz="4" w:space="0" w:color="4D3733"/>
        </w:tblBorders>
        <w:tblLayout w:type="fixed"/>
        <w:tblLook w:val="0600" w:firstRow="0" w:lastRow="0" w:firstColumn="0" w:lastColumn="0" w:noHBand="1" w:noVBand="1"/>
      </w:tblPr>
      <w:tblGrid>
        <w:gridCol w:w="2337"/>
        <w:gridCol w:w="2337"/>
        <w:gridCol w:w="4681"/>
      </w:tblGrid>
      <w:tr w:rsidR="00095217" w:rsidTr="0064366C">
        <w:tc>
          <w:tcPr>
            <w:tcW w:w="2337" w:type="dxa"/>
            <w:shd w:val="clear" w:color="auto" w:fill="EDEDED"/>
            <w:vAlign w:val="center"/>
          </w:tcPr>
          <w:p w:rsidR="00422AA3" w:rsidRPr="00422AA3" w:rsidRDefault="00CE7A19" w:rsidP="00422AA3">
            <w:pPr>
              <w:ind w:firstLine="0"/>
              <w:contextualSpacing/>
              <w:rPr>
                <w:rFonts w:ascii="Times New Roman" w:hAnsi="Times New Roman" w:cs="Times New Roman"/>
                <w:sz w:val="24"/>
                <w:szCs w:val="24"/>
              </w:rPr>
            </w:pPr>
            <w:bookmarkStart w:id="0" w:name="30j0zll" w:colFirst="0" w:colLast="0"/>
            <w:bookmarkEnd w:id="0"/>
            <w:r w:rsidRPr="00422AA3">
              <w:rPr>
                <w:rFonts w:ascii="Times New Roman" w:hAnsi="Times New Roman" w:cs="Times New Roman"/>
                <w:sz w:val="24"/>
                <w:szCs w:val="24"/>
              </w:rPr>
              <w:t>Quality Standard</w:t>
            </w:r>
          </w:p>
        </w:tc>
        <w:tc>
          <w:tcPr>
            <w:tcW w:w="2337" w:type="dxa"/>
            <w:shd w:val="clear" w:color="auto" w:fill="EDEDED"/>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Health Care Organization</w:t>
            </w:r>
          </w:p>
        </w:tc>
        <w:tc>
          <w:tcPr>
            <w:tcW w:w="4681" w:type="dxa"/>
            <w:shd w:val="clear" w:color="auto" w:fill="EDEDED"/>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 xml:space="preserve">Purpose of Standard </w:t>
            </w:r>
            <w:r w:rsidRPr="00422AA3">
              <w:rPr>
                <w:rFonts w:ascii="Times New Roman" w:hAnsi="Times New Roman" w:cs="Times New Roman"/>
                <w:b/>
                <w:sz w:val="24"/>
                <w:szCs w:val="24"/>
              </w:rPr>
              <w:t>(100 words each)</w:t>
            </w:r>
          </w:p>
        </w:tc>
      </w:tr>
      <w:tr w:rsidR="00095217" w:rsidTr="0064366C">
        <w:tc>
          <w:tcPr>
            <w:tcW w:w="2337" w:type="dxa"/>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AHRQuality</w:t>
            </w:r>
            <w:r w:rsidRPr="00422AA3">
              <w:rPr>
                <w:rFonts w:ascii="Times New Roman" w:hAnsi="Times New Roman" w:cs="Times New Roman"/>
                <w:sz w:val="24"/>
                <w:szCs w:val="24"/>
              </w:rPr>
              <w:t xml:space="preserve"> Indicators</w:t>
            </w:r>
          </w:p>
          <w:p w:rsidR="00422AA3" w:rsidRPr="00422AA3" w:rsidRDefault="00422AA3" w:rsidP="00422AA3">
            <w:pPr>
              <w:ind w:firstLine="0"/>
              <w:contextualSpacing/>
              <w:rPr>
                <w:rFonts w:ascii="Times New Roman" w:hAnsi="Times New Roman" w:cs="Times New Roman"/>
                <w:sz w:val="24"/>
                <w:szCs w:val="24"/>
              </w:rPr>
            </w:pPr>
          </w:p>
        </w:tc>
        <w:tc>
          <w:tcPr>
            <w:tcW w:w="2337" w:type="dxa"/>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Agency for Healthcare Research and Quality (AHRQ)</w:t>
            </w:r>
          </w:p>
        </w:tc>
        <w:tc>
          <w:tcPr>
            <w:tcW w:w="4681" w:type="dxa"/>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The Quality Indicators are used by healthcare facilities to spot possible quality issues, indicate areas that necessitate more research, and examine and monitor variations in their administrati</w:t>
            </w:r>
            <w:r w:rsidRPr="00422AA3">
              <w:rPr>
                <w:rFonts w:ascii="Times New Roman" w:hAnsi="Times New Roman" w:cs="Times New Roman"/>
                <w:sz w:val="24"/>
                <w:szCs w:val="24"/>
              </w:rPr>
              <w:t>ve data over time.</w:t>
            </w:r>
          </w:p>
        </w:tc>
      </w:tr>
      <w:tr w:rsidR="00095217" w:rsidTr="0064366C">
        <w:tc>
          <w:tcPr>
            <w:tcW w:w="2337" w:type="dxa"/>
            <w:vAlign w:val="center"/>
          </w:tcPr>
          <w:p w:rsidR="00422AA3" w:rsidRPr="00422AA3" w:rsidRDefault="00422AA3" w:rsidP="00422AA3">
            <w:pPr>
              <w:ind w:firstLine="0"/>
              <w:contextualSpacing/>
              <w:rPr>
                <w:rFonts w:ascii="Times New Roman" w:hAnsi="Times New Roman" w:cs="Times New Roman"/>
                <w:sz w:val="24"/>
                <w:szCs w:val="24"/>
              </w:rPr>
            </w:pPr>
          </w:p>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Quality Measures And Standards of Care</w:t>
            </w:r>
          </w:p>
          <w:p w:rsidR="00422AA3" w:rsidRPr="00422AA3" w:rsidRDefault="00422AA3" w:rsidP="00422AA3">
            <w:pPr>
              <w:ind w:firstLine="0"/>
              <w:contextualSpacing/>
              <w:rPr>
                <w:rFonts w:ascii="Times New Roman" w:hAnsi="Times New Roman" w:cs="Times New Roman"/>
                <w:sz w:val="24"/>
                <w:szCs w:val="24"/>
              </w:rPr>
            </w:pPr>
          </w:p>
        </w:tc>
        <w:tc>
          <w:tcPr>
            <w:tcW w:w="2337"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The Joint Commission (TJC)</w:t>
            </w:r>
          </w:p>
        </w:tc>
        <w:tc>
          <w:tcPr>
            <w:tcW w:w="4681" w:type="dxa"/>
            <w:vAlign w:val="center"/>
          </w:tcPr>
          <w:p w:rsidR="00422AA3" w:rsidRPr="00422AA3" w:rsidRDefault="00CE7A19" w:rsidP="00AF7532">
            <w:pPr>
              <w:ind w:firstLine="0"/>
              <w:contextualSpacing/>
              <w:rPr>
                <w:rFonts w:ascii="Times New Roman" w:hAnsi="Times New Roman" w:cs="Times New Roman"/>
                <w:sz w:val="24"/>
                <w:szCs w:val="24"/>
              </w:rPr>
            </w:pPr>
            <w:r>
              <w:rPr>
                <w:rFonts w:ascii="Times New Roman" w:hAnsi="Times New Roman" w:cs="Times New Roman"/>
                <w:sz w:val="24"/>
                <w:szCs w:val="24"/>
              </w:rPr>
              <w:t>TJC</w:t>
            </w:r>
            <w:r w:rsidRPr="00422AA3">
              <w:rPr>
                <w:rFonts w:ascii="Times New Roman" w:hAnsi="Times New Roman" w:cs="Times New Roman"/>
                <w:sz w:val="24"/>
                <w:szCs w:val="24"/>
              </w:rPr>
              <w:t>'s standards lay the groun</w:t>
            </w:r>
            <w:r w:rsidR="0066636B">
              <w:rPr>
                <w:rFonts w:ascii="Times New Roman" w:hAnsi="Times New Roman" w:cs="Times New Roman"/>
                <w:sz w:val="24"/>
                <w:szCs w:val="24"/>
              </w:rPr>
              <w:t>dwork for an unbiased assessment process that can aid</w:t>
            </w:r>
            <w:r w:rsidRPr="00422AA3">
              <w:rPr>
                <w:rFonts w:ascii="Times New Roman" w:hAnsi="Times New Roman" w:cs="Times New Roman"/>
                <w:sz w:val="24"/>
                <w:szCs w:val="24"/>
              </w:rPr>
              <w:t xml:space="preserve"> healthcare facilities </w:t>
            </w:r>
            <w:r w:rsidR="0066636B">
              <w:rPr>
                <w:rFonts w:ascii="Times New Roman" w:hAnsi="Times New Roman" w:cs="Times New Roman"/>
                <w:sz w:val="24"/>
                <w:szCs w:val="24"/>
              </w:rPr>
              <w:t>assess, measure, and improve their effectiveness</w:t>
            </w:r>
            <w:r w:rsidRPr="00422AA3">
              <w:rPr>
                <w:rFonts w:ascii="Times New Roman" w:hAnsi="Times New Roman" w:cs="Times New Roman"/>
                <w:sz w:val="24"/>
                <w:szCs w:val="24"/>
              </w:rPr>
              <w:t xml:space="preserve"> (</w:t>
            </w:r>
            <w:proofErr w:type="spellStart"/>
            <w:r w:rsidRPr="00422AA3">
              <w:rPr>
                <w:rFonts w:ascii="Times New Roman" w:hAnsi="Times New Roman" w:cs="Times New Roman"/>
                <w:sz w:val="24"/>
                <w:szCs w:val="24"/>
              </w:rPr>
              <w:t>Simou</w:t>
            </w:r>
            <w:proofErr w:type="spellEnd"/>
            <w:r w:rsidRPr="00422AA3">
              <w:rPr>
                <w:rFonts w:ascii="Times New Roman" w:hAnsi="Times New Roman" w:cs="Times New Roman"/>
                <w:sz w:val="24"/>
                <w:szCs w:val="24"/>
              </w:rPr>
              <w:t xml:space="preserve"> et</w:t>
            </w:r>
            <w:r w:rsidR="00846617">
              <w:rPr>
                <w:rFonts w:ascii="Times New Roman" w:hAnsi="Times New Roman" w:cs="Times New Roman"/>
                <w:sz w:val="24"/>
                <w:szCs w:val="24"/>
              </w:rPr>
              <w:t xml:space="preserve"> al., 2015). The standards concentrate</w:t>
            </w:r>
            <w:r w:rsidRPr="00422AA3">
              <w:rPr>
                <w:rFonts w:ascii="Times New Roman" w:hAnsi="Times New Roman" w:cs="Times New Roman"/>
                <w:sz w:val="24"/>
                <w:szCs w:val="24"/>
              </w:rPr>
              <w:t xml:space="preserve"> on the vital individual patient</w:t>
            </w:r>
            <w:r w:rsidR="00C5002D">
              <w:rPr>
                <w:rFonts w:ascii="Times New Roman" w:hAnsi="Times New Roman" w:cs="Times New Roman"/>
                <w:sz w:val="24"/>
                <w:szCs w:val="24"/>
              </w:rPr>
              <w:t xml:space="preserve">’s </w:t>
            </w:r>
            <w:r w:rsidRPr="00422AA3">
              <w:rPr>
                <w:rFonts w:ascii="Times New Roman" w:hAnsi="Times New Roman" w:cs="Times New Roman"/>
                <w:sz w:val="24"/>
                <w:szCs w:val="24"/>
              </w:rPr>
              <w:t>care and organization</w:t>
            </w:r>
            <w:r w:rsidR="00C5002D">
              <w:rPr>
                <w:rFonts w:ascii="Times New Roman" w:hAnsi="Times New Roman" w:cs="Times New Roman"/>
                <w:sz w:val="24"/>
                <w:szCs w:val="24"/>
              </w:rPr>
              <w:t>al activities that are vital</w:t>
            </w:r>
            <w:r w:rsidRPr="00422AA3">
              <w:rPr>
                <w:rFonts w:ascii="Times New Roman" w:hAnsi="Times New Roman" w:cs="Times New Roman"/>
                <w:sz w:val="24"/>
                <w:szCs w:val="24"/>
              </w:rPr>
              <w:t xml:space="preserve"> to </w:t>
            </w:r>
            <w:r w:rsidR="00AF7532">
              <w:rPr>
                <w:rFonts w:ascii="Times New Roman" w:hAnsi="Times New Roman" w:cs="Times New Roman"/>
                <w:sz w:val="24"/>
                <w:szCs w:val="24"/>
              </w:rPr>
              <w:t>ensuring that better quality and safe care is provided to the patients. Therefore, TJC</w:t>
            </w:r>
            <w:r w:rsidRPr="00422AA3">
              <w:rPr>
                <w:rFonts w:ascii="Times New Roman" w:hAnsi="Times New Roman" w:cs="Times New Roman"/>
                <w:sz w:val="24"/>
                <w:szCs w:val="24"/>
              </w:rPr>
              <w:t xml:space="preserve"> standards greatly help develop plans to solve the</w:t>
            </w:r>
            <w:r w:rsidRPr="00422AA3">
              <w:rPr>
                <w:rFonts w:ascii="Times New Roman" w:hAnsi="Times New Roman" w:cs="Times New Roman"/>
                <w:sz w:val="24"/>
                <w:szCs w:val="24"/>
              </w:rPr>
              <w:t xml:space="preserve"> most difficult challenges and identify fundamental flaws in the service experience. It is achieved by examining numerous parts of the patient care processes, thereby guaranteeing that the patient care process is thoroughly examined.</w:t>
            </w:r>
          </w:p>
        </w:tc>
      </w:tr>
      <w:tr w:rsidR="00095217" w:rsidTr="0064366C">
        <w:tc>
          <w:tcPr>
            <w:tcW w:w="2337" w:type="dxa"/>
            <w:vAlign w:val="center"/>
          </w:tcPr>
          <w:p w:rsidR="00422AA3" w:rsidRPr="00422AA3" w:rsidRDefault="00422AA3" w:rsidP="00422AA3">
            <w:pPr>
              <w:ind w:firstLine="0"/>
              <w:contextualSpacing/>
              <w:rPr>
                <w:rFonts w:ascii="Times New Roman" w:hAnsi="Times New Roman" w:cs="Times New Roman"/>
                <w:sz w:val="24"/>
                <w:szCs w:val="24"/>
              </w:rPr>
            </w:pPr>
          </w:p>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Durable Medical Equi</w:t>
            </w:r>
            <w:r w:rsidRPr="00422AA3">
              <w:rPr>
                <w:rFonts w:ascii="Times New Roman" w:hAnsi="Times New Roman" w:cs="Times New Roman"/>
                <w:sz w:val="24"/>
                <w:szCs w:val="24"/>
              </w:rPr>
              <w:t xml:space="preserve">pment, Prosthetics, Orthotics, and Supplies (DMEPOS) Quality Standards </w:t>
            </w:r>
          </w:p>
          <w:p w:rsidR="00422AA3" w:rsidRPr="00422AA3" w:rsidRDefault="00422AA3" w:rsidP="00422AA3">
            <w:pPr>
              <w:ind w:firstLine="0"/>
              <w:contextualSpacing/>
              <w:rPr>
                <w:rFonts w:ascii="Times New Roman" w:hAnsi="Times New Roman" w:cs="Times New Roman"/>
                <w:sz w:val="24"/>
                <w:szCs w:val="24"/>
              </w:rPr>
            </w:pPr>
          </w:p>
        </w:tc>
        <w:tc>
          <w:tcPr>
            <w:tcW w:w="2337"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Centers For Medicare And Medicaid Services (CMS)</w:t>
            </w:r>
          </w:p>
        </w:tc>
        <w:tc>
          <w:tcPr>
            <w:tcW w:w="4681"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Unless exempted, DMEPOS suppliers must adhere to the Standards Of the quality of the DMEPOS and become certified to obtain or maintain</w:t>
            </w:r>
            <w:r w:rsidRPr="00422AA3">
              <w:rPr>
                <w:rFonts w:ascii="Times New Roman" w:hAnsi="Times New Roman" w:cs="Times New Roman"/>
                <w:sz w:val="24"/>
                <w:szCs w:val="24"/>
              </w:rPr>
              <w:t xml:space="preserve"> Medicare billing permissions (Sadeghi-Demneh et al., 2018). Recognizing the DMEPOS Quality Standards and engaging all employees in the organization would assist businesses in meeting them and obtaining accreditation. Such standards ensure that the proper </w:t>
            </w:r>
            <w:r w:rsidRPr="00422AA3">
              <w:rPr>
                <w:rFonts w:ascii="Times New Roman" w:hAnsi="Times New Roman" w:cs="Times New Roman"/>
                <w:sz w:val="24"/>
                <w:szCs w:val="24"/>
              </w:rPr>
              <w:t>financial management practices are carried out to ensure accurate billing, facilitated by hiring competent workers who work and deliver equipment within their scope of practice. Besides, they undergo verification processes to ensure that they have proper d</w:t>
            </w:r>
            <w:r w:rsidRPr="00422AA3">
              <w:rPr>
                <w:rFonts w:ascii="Times New Roman" w:hAnsi="Times New Roman" w:cs="Times New Roman"/>
                <w:sz w:val="24"/>
                <w:szCs w:val="24"/>
              </w:rPr>
              <w:t xml:space="preserve">ocumentation regarding job descriptions. Therefore, DMEPOS suppliers are required to adhere to such guidelines to acquire and maintain Medicare billing privileges. </w:t>
            </w:r>
          </w:p>
        </w:tc>
      </w:tr>
      <w:tr w:rsidR="00095217" w:rsidTr="0064366C">
        <w:tc>
          <w:tcPr>
            <w:tcW w:w="2337" w:type="dxa"/>
            <w:vAlign w:val="center"/>
          </w:tcPr>
          <w:p w:rsidR="00422AA3" w:rsidRPr="00422AA3" w:rsidRDefault="00422AA3" w:rsidP="00422AA3">
            <w:pPr>
              <w:ind w:firstLine="0"/>
              <w:contextualSpacing/>
              <w:rPr>
                <w:rFonts w:ascii="Times New Roman" w:hAnsi="Times New Roman" w:cs="Times New Roman"/>
                <w:sz w:val="24"/>
                <w:szCs w:val="24"/>
              </w:rPr>
            </w:pPr>
          </w:p>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Public Health Quality Indicators</w:t>
            </w:r>
          </w:p>
          <w:p w:rsidR="00422AA3" w:rsidRPr="00422AA3" w:rsidRDefault="00422AA3" w:rsidP="00422AA3">
            <w:pPr>
              <w:ind w:firstLine="0"/>
              <w:contextualSpacing/>
              <w:rPr>
                <w:rFonts w:ascii="Times New Roman" w:hAnsi="Times New Roman" w:cs="Times New Roman"/>
                <w:sz w:val="24"/>
                <w:szCs w:val="24"/>
              </w:rPr>
            </w:pPr>
          </w:p>
        </w:tc>
        <w:tc>
          <w:tcPr>
            <w:tcW w:w="2337"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Ohio Department of Health</w:t>
            </w:r>
          </w:p>
        </w:tc>
        <w:tc>
          <w:tcPr>
            <w:tcW w:w="4681"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To track every jurisdiction's</w:t>
            </w:r>
            <w:r w:rsidRPr="00422AA3">
              <w:rPr>
                <w:rFonts w:ascii="Times New Roman" w:hAnsi="Times New Roman" w:cs="Times New Roman"/>
                <w:sz w:val="24"/>
                <w:szCs w:val="24"/>
              </w:rPr>
              <w:t xml:space="preserve"> or county's recorded public health performance, the Ohio Department of Health applies public health quality indicators. For example, before starting </w:t>
            </w:r>
            <w:r w:rsidRPr="00422AA3">
              <w:rPr>
                <w:rFonts w:ascii="Times New Roman" w:hAnsi="Times New Roman" w:cs="Times New Roman"/>
                <w:sz w:val="24"/>
                <w:szCs w:val="24"/>
              </w:rPr>
              <w:lastRenderedPageBreak/>
              <w:t>schooling and neonatal mortality rates, vaccination of children is a major sticking point (Simou et al., 2</w:t>
            </w:r>
            <w:r w:rsidRPr="00422AA3">
              <w:rPr>
                <w:rFonts w:ascii="Times New Roman" w:hAnsi="Times New Roman" w:cs="Times New Roman"/>
                <w:sz w:val="24"/>
                <w:szCs w:val="24"/>
              </w:rPr>
              <w:t>015). Their capability indicators include things like emergency preparedness and accessibility to birth and death data. In addition, it can aid in tracking infections and the prevention of future outbreaks in that region or the adjacent areas. Therefore, s</w:t>
            </w:r>
            <w:r w:rsidRPr="00422AA3">
              <w:rPr>
                <w:rFonts w:ascii="Times New Roman" w:hAnsi="Times New Roman" w:cs="Times New Roman"/>
                <w:sz w:val="24"/>
                <w:szCs w:val="24"/>
              </w:rPr>
              <w:t>uch evidence-based healthcare quality metrics can monitor and track clinical performance and effectiveness using widely available hospital inpatient information collected.</w:t>
            </w:r>
          </w:p>
        </w:tc>
      </w:tr>
      <w:tr w:rsidR="00095217" w:rsidTr="0064366C">
        <w:tc>
          <w:tcPr>
            <w:tcW w:w="2337" w:type="dxa"/>
            <w:vAlign w:val="center"/>
          </w:tcPr>
          <w:p w:rsidR="00422AA3" w:rsidRPr="00422AA3" w:rsidRDefault="00422AA3" w:rsidP="00422AA3">
            <w:pPr>
              <w:ind w:firstLine="0"/>
              <w:contextualSpacing/>
              <w:rPr>
                <w:rFonts w:ascii="Times New Roman" w:hAnsi="Times New Roman" w:cs="Times New Roman"/>
                <w:sz w:val="24"/>
                <w:szCs w:val="24"/>
              </w:rPr>
            </w:pPr>
          </w:p>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Patient Safety Indicators</w:t>
            </w:r>
          </w:p>
          <w:p w:rsidR="00422AA3" w:rsidRPr="00422AA3" w:rsidRDefault="00422AA3" w:rsidP="00422AA3">
            <w:pPr>
              <w:ind w:firstLine="0"/>
              <w:contextualSpacing/>
              <w:rPr>
                <w:rFonts w:ascii="Times New Roman" w:hAnsi="Times New Roman" w:cs="Times New Roman"/>
                <w:sz w:val="24"/>
                <w:szCs w:val="24"/>
              </w:rPr>
            </w:pPr>
          </w:p>
        </w:tc>
        <w:tc>
          <w:tcPr>
            <w:tcW w:w="2337"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 xml:space="preserve">Mayo Clinic </w:t>
            </w:r>
          </w:p>
        </w:tc>
        <w:tc>
          <w:tcPr>
            <w:tcW w:w="4681"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 xml:space="preserve">The Mayo Clinic collects information </w:t>
            </w:r>
            <w:r w:rsidRPr="00422AA3">
              <w:rPr>
                <w:rFonts w:ascii="Times New Roman" w:hAnsi="Times New Roman" w:cs="Times New Roman"/>
                <w:sz w:val="24"/>
                <w:szCs w:val="24"/>
              </w:rPr>
              <w:t>through the billing department using the Agency for Healthcare Research and Quality (AHRQ) software tool to monitor occurrences that could have transpired during the client's hospitalization or operations (Emond et al., 2015). Foreign objects retained in t</w:t>
            </w:r>
            <w:r w:rsidRPr="00422AA3">
              <w:rPr>
                <w:rFonts w:ascii="Times New Roman" w:hAnsi="Times New Roman" w:cs="Times New Roman"/>
                <w:sz w:val="24"/>
                <w:szCs w:val="24"/>
              </w:rPr>
              <w:t xml:space="preserve">he human body during surgical operations, inadvertent incisions or bleeding, multi-organ failure, and pressure ulcers are among some of the patient </w:t>
            </w:r>
            <w:r w:rsidRPr="00422AA3">
              <w:rPr>
                <w:rFonts w:ascii="Times New Roman" w:hAnsi="Times New Roman" w:cs="Times New Roman"/>
                <w:sz w:val="24"/>
                <w:szCs w:val="24"/>
              </w:rPr>
              <w:lastRenderedPageBreak/>
              <w:t>safety indicators monitored to lessen the possibilities of relapse. Such indicators potentially endanger pat</w:t>
            </w:r>
            <w:r w:rsidRPr="00422AA3">
              <w:rPr>
                <w:rFonts w:ascii="Times New Roman" w:hAnsi="Times New Roman" w:cs="Times New Roman"/>
                <w:sz w:val="24"/>
                <w:szCs w:val="24"/>
              </w:rPr>
              <w:t>ients, costing the treatment center money in the form of prospective lawsuits filed by the patients and damage their image hence ruining their reputation in society. Keeping track of the areas mentioned earlier and others could assist in preventing the pos</w:t>
            </w:r>
            <w:r w:rsidRPr="00422AA3">
              <w:rPr>
                <w:rFonts w:ascii="Times New Roman" w:hAnsi="Times New Roman" w:cs="Times New Roman"/>
                <w:sz w:val="24"/>
                <w:szCs w:val="24"/>
              </w:rPr>
              <w:t>sibility of injury or harm to the clients during their presence or operations.</w:t>
            </w:r>
          </w:p>
        </w:tc>
      </w:tr>
      <w:tr w:rsidR="00095217" w:rsidTr="0064366C">
        <w:tc>
          <w:tcPr>
            <w:tcW w:w="2337" w:type="dxa"/>
            <w:vAlign w:val="center"/>
          </w:tcPr>
          <w:p w:rsidR="00422AA3" w:rsidRPr="00422AA3" w:rsidRDefault="00422AA3" w:rsidP="00422AA3">
            <w:pPr>
              <w:ind w:firstLine="0"/>
              <w:contextualSpacing/>
              <w:rPr>
                <w:rFonts w:ascii="Times New Roman" w:hAnsi="Times New Roman" w:cs="Times New Roman"/>
                <w:sz w:val="24"/>
                <w:szCs w:val="24"/>
              </w:rPr>
            </w:pPr>
          </w:p>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Healthcare Effectiveness Data And Information Set (HEDIS)</w:t>
            </w:r>
          </w:p>
          <w:p w:rsidR="00422AA3" w:rsidRPr="00422AA3" w:rsidRDefault="00422AA3" w:rsidP="00422AA3">
            <w:pPr>
              <w:ind w:firstLine="0"/>
              <w:contextualSpacing/>
              <w:rPr>
                <w:rFonts w:ascii="Times New Roman" w:hAnsi="Times New Roman" w:cs="Times New Roman"/>
                <w:sz w:val="24"/>
                <w:szCs w:val="24"/>
              </w:rPr>
            </w:pPr>
          </w:p>
        </w:tc>
        <w:tc>
          <w:tcPr>
            <w:tcW w:w="2337"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National Committee For Quality Assurance (NCQA)</w:t>
            </w:r>
          </w:p>
        </w:tc>
        <w:tc>
          <w:tcPr>
            <w:tcW w:w="4681"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HEDIS is a set of standardized performance metrics that provide data</w:t>
            </w:r>
            <w:r w:rsidRPr="00422AA3">
              <w:rPr>
                <w:rFonts w:ascii="Times New Roman" w:hAnsi="Times New Roman" w:cs="Times New Roman"/>
                <w:sz w:val="24"/>
                <w:szCs w:val="24"/>
              </w:rPr>
              <w:t xml:space="preserve"> used by a broad range of consumers regarding health plans on aspects of healthcare services </w:t>
            </w:r>
            <w:r w:rsidR="002B143E">
              <w:rPr>
                <w:rFonts w:ascii="Times New Roman" w:hAnsi="Times New Roman" w:cs="Times New Roman"/>
                <w:sz w:val="24"/>
                <w:szCs w:val="24"/>
              </w:rPr>
              <w:t>to determine their efficiency</w:t>
            </w:r>
            <w:bookmarkStart w:id="1" w:name="_GoBack"/>
            <w:bookmarkEnd w:id="1"/>
            <w:r w:rsidRPr="00422AA3">
              <w:rPr>
                <w:rFonts w:ascii="Times New Roman" w:hAnsi="Times New Roman" w:cs="Times New Roman"/>
                <w:sz w:val="24"/>
                <w:szCs w:val="24"/>
              </w:rPr>
              <w:t xml:space="preserve"> (Hechter et al., 2019). In this regard, the standards enable comparison of health plan performance and identification of areas for</w:t>
            </w:r>
            <w:r w:rsidRPr="00422AA3">
              <w:rPr>
                <w:rFonts w:ascii="Times New Roman" w:hAnsi="Times New Roman" w:cs="Times New Roman"/>
                <w:sz w:val="24"/>
                <w:szCs w:val="24"/>
              </w:rPr>
              <w:t xml:space="preserve"> improvement. In addition, numerous major public health concerns, including cancer, cardiovascular disease, smoking, asthma, and diabetes, are addressed by HEDIS Standards. Therefore, HEDIS performance data can be </w:t>
            </w:r>
            <w:r w:rsidRPr="00422AA3">
              <w:rPr>
                <w:rFonts w:ascii="Times New Roman" w:hAnsi="Times New Roman" w:cs="Times New Roman"/>
                <w:sz w:val="24"/>
                <w:szCs w:val="24"/>
              </w:rPr>
              <w:lastRenderedPageBreak/>
              <w:t>used by consumers to identify areas for im</w:t>
            </w:r>
            <w:r w:rsidRPr="00422AA3">
              <w:rPr>
                <w:rFonts w:ascii="Times New Roman" w:hAnsi="Times New Roman" w:cs="Times New Roman"/>
                <w:sz w:val="24"/>
                <w:szCs w:val="24"/>
              </w:rPr>
              <w:t xml:space="preserve">provement, track progress, and give a set of measuring standards that can get compared to other plans. Similarly, such data allows for the discovery of discrepancies and the setting of feasible improvement goals. </w:t>
            </w:r>
          </w:p>
        </w:tc>
      </w:tr>
      <w:tr w:rsidR="00095217" w:rsidTr="0064366C">
        <w:tc>
          <w:tcPr>
            <w:tcW w:w="2337" w:type="dxa"/>
            <w:vAlign w:val="center"/>
          </w:tcPr>
          <w:p w:rsidR="00422AA3" w:rsidRPr="00422AA3" w:rsidRDefault="00422AA3" w:rsidP="00422AA3">
            <w:pPr>
              <w:ind w:firstLine="0"/>
              <w:contextualSpacing/>
              <w:rPr>
                <w:rFonts w:ascii="Times New Roman" w:hAnsi="Times New Roman" w:cs="Times New Roman"/>
                <w:sz w:val="24"/>
                <w:szCs w:val="24"/>
              </w:rPr>
            </w:pPr>
          </w:p>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Mammography Quality Standards Act (MQSA)</w:t>
            </w:r>
          </w:p>
          <w:p w:rsidR="00422AA3" w:rsidRPr="00422AA3" w:rsidRDefault="00422AA3" w:rsidP="00422AA3">
            <w:pPr>
              <w:ind w:firstLine="0"/>
              <w:contextualSpacing/>
              <w:rPr>
                <w:rFonts w:ascii="Times New Roman" w:hAnsi="Times New Roman" w:cs="Times New Roman"/>
                <w:sz w:val="24"/>
                <w:szCs w:val="24"/>
              </w:rPr>
            </w:pPr>
          </w:p>
        </w:tc>
        <w:tc>
          <w:tcPr>
            <w:tcW w:w="2337"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American College Of Radiology (ACR)</w:t>
            </w:r>
          </w:p>
        </w:tc>
        <w:tc>
          <w:tcPr>
            <w:tcW w:w="4681" w:type="dxa"/>
            <w:vAlign w:val="center"/>
          </w:tcPr>
          <w:p w:rsidR="00422AA3" w:rsidRPr="00422AA3" w:rsidRDefault="00CE7A19" w:rsidP="00422AA3">
            <w:pPr>
              <w:ind w:firstLine="0"/>
              <w:contextualSpacing/>
              <w:rPr>
                <w:rFonts w:ascii="Times New Roman" w:hAnsi="Times New Roman" w:cs="Times New Roman"/>
                <w:sz w:val="24"/>
                <w:szCs w:val="24"/>
              </w:rPr>
            </w:pPr>
            <w:r w:rsidRPr="00422AA3">
              <w:rPr>
                <w:rFonts w:ascii="Times New Roman" w:hAnsi="Times New Roman" w:cs="Times New Roman"/>
                <w:sz w:val="24"/>
                <w:szCs w:val="24"/>
              </w:rPr>
              <w:t xml:space="preserve">It serves as the foundation for establishing standards of quality in breast cancer screening centers. Mammography standards are intended to enhance screening services in hospitals (Oshiro &amp; Bassett, 2018). The purpose </w:t>
            </w:r>
            <w:r w:rsidRPr="00422AA3">
              <w:rPr>
                <w:rFonts w:ascii="Times New Roman" w:hAnsi="Times New Roman" w:cs="Times New Roman"/>
                <w:sz w:val="24"/>
                <w:szCs w:val="24"/>
              </w:rPr>
              <w:t>of this standard is to set specific uniform criteria to guarantee that all people have access to high-quality mammography screening for early breast cancer screening. It would thereby result in early treatment, which increases the patient's chance of survi</w:t>
            </w:r>
            <w:r w:rsidRPr="00422AA3">
              <w:rPr>
                <w:rFonts w:ascii="Times New Roman" w:hAnsi="Times New Roman" w:cs="Times New Roman"/>
                <w:sz w:val="24"/>
                <w:szCs w:val="24"/>
              </w:rPr>
              <w:t>val in the united states and its territories. Additionally, these standards enable patients to obtain results that are written in a language they can understand easily and to acquire original mammograms and not duplicates when they desire</w:t>
            </w:r>
          </w:p>
        </w:tc>
      </w:tr>
    </w:tbl>
    <w:p w:rsidR="00422AA3" w:rsidRPr="00CD154E" w:rsidRDefault="00CE7A19" w:rsidP="00CD154E">
      <w:pPr>
        <w:ind w:firstLine="0"/>
        <w:contextualSpacing/>
        <w:jc w:val="center"/>
        <w:rPr>
          <w:rFonts w:ascii="Times New Roman" w:hAnsi="Times New Roman" w:cs="Times New Roman"/>
          <w:sz w:val="24"/>
          <w:szCs w:val="24"/>
        </w:rPr>
      </w:pPr>
      <w:r w:rsidRPr="00422AA3">
        <w:rPr>
          <w:rFonts w:ascii="Times New Roman" w:hAnsi="Times New Roman" w:cs="Times New Roman"/>
          <w:b/>
          <w:sz w:val="24"/>
          <w:szCs w:val="24"/>
        </w:rPr>
        <w:t>References</w:t>
      </w:r>
    </w:p>
    <w:p w:rsidR="00422AA3" w:rsidRPr="00422AA3" w:rsidRDefault="00CE7A19" w:rsidP="00CD154E">
      <w:pPr>
        <w:ind w:left="720" w:hanging="720"/>
        <w:contextualSpacing/>
        <w:rPr>
          <w:rFonts w:ascii="Times New Roman" w:hAnsi="Times New Roman" w:cs="Times New Roman"/>
          <w:sz w:val="24"/>
          <w:szCs w:val="24"/>
        </w:rPr>
      </w:pPr>
      <w:r w:rsidRPr="00422AA3">
        <w:rPr>
          <w:rFonts w:ascii="Times New Roman" w:hAnsi="Times New Roman" w:cs="Times New Roman"/>
          <w:sz w:val="24"/>
          <w:szCs w:val="24"/>
        </w:rPr>
        <w:lastRenderedPageBreak/>
        <w:t>Emond</w:t>
      </w:r>
      <w:r w:rsidRPr="00422AA3">
        <w:rPr>
          <w:rFonts w:ascii="Times New Roman" w:hAnsi="Times New Roman" w:cs="Times New Roman"/>
          <w:sz w:val="24"/>
          <w:szCs w:val="24"/>
        </w:rPr>
        <w:t>, Y. E., Stienen, J. J., Wollersheim, H. C., Bloo, G. J., Damen, J., Westert, G. P., ... &amp; Wolff, A. P. (2015). Development and measurement of perioperative patient safety indicators. </w:t>
      </w:r>
      <w:r w:rsidRPr="00422AA3">
        <w:rPr>
          <w:rFonts w:ascii="Times New Roman" w:hAnsi="Times New Roman" w:cs="Times New Roman"/>
          <w:i/>
          <w:iCs/>
          <w:sz w:val="24"/>
          <w:szCs w:val="24"/>
        </w:rPr>
        <w:t>BJA: British Journal of Anaesthesia</w:t>
      </w:r>
      <w:r w:rsidRPr="00422AA3">
        <w:rPr>
          <w:rFonts w:ascii="Times New Roman" w:hAnsi="Times New Roman" w:cs="Times New Roman"/>
          <w:sz w:val="24"/>
          <w:szCs w:val="24"/>
        </w:rPr>
        <w:t>, </w:t>
      </w:r>
      <w:r w:rsidRPr="00422AA3">
        <w:rPr>
          <w:rFonts w:ascii="Times New Roman" w:hAnsi="Times New Roman" w:cs="Times New Roman"/>
          <w:i/>
          <w:iCs/>
          <w:sz w:val="24"/>
          <w:szCs w:val="24"/>
        </w:rPr>
        <w:t>114</w:t>
      </w:r>
      <w:r w:rsidRPr="00422AA3">
        <w:rPr>
          <w:rFonts w:ascii="Times New Roman" w:hAnsi="Times New Roman" w:cs="Times New Roman"/>
          <w:sz w:val="24"/>
          <w:szCs w:val="24"/>
        </w:rPr>
        <w:t>(6), 963-972.</w:t>
      </w:r>
    </w:p>
    <w:p w:rsidR="00422AA3" w:rsidRPr="00422AA3" w:rsidRDefault="00CE7A19" w:rsidP="00CD154E">
      <w:pPr>
        <w:ind w:left="720" w:hanging="720"/>
        <w:contextualSpacing/>
        <w:rPr>
          <w:rFonts w:ascii="Times New Roman" w:hAnsi="Times New Roman" w:cs="Times New Roman"/>
          <w:sz w:val="24"/>
          <w:szCs w:val="24"/>
        </w:rPr>
      </w:pPr>
      <w:r w:rsidRPr="00422AA3">
        <w:rPr>
          <w:rFonts w:ascii="Times New Roman" w:hAnsi="Times New Roman" w:cs="Times New Roman"/>
          <w:sz w:val="24"/>
          <w:szCs w:val="24"/>
        </w:rPr>
        <w:t xml:space="preserve">Hechter, R. C., </w:t>
      </w:r>
      <w:r w:rsidRPr="00422AA3">
        <w:rPr>
          <w:rFonts w:ascii="Times New Roman" w:hAnsi="Times New Roman" w:cs="Times New Roman"/>
          <w:sz w:val="24"/>
          <w:szCs w:val="24"/>
        </w:rPr>
        <w:t>Horberg, M. A., Weisner, C., Campbell, C. I., Contreras, R., Chen, L. H., ... &amp; Satre, D. D. (2019). Healthcare Effectiveness Data and Information Set (HEDIS) measures of alcohol and drug treatment initiation and engagement among people living with the hum</w:t>
      </w:r>
      <w:r w:rsidRPr="00422AA3">
        <w:rPr>
          <w:rFonts w:ascii="Times New Roman" w:hAnsi="Times New Roman" w:cs="Times New Roman"/>
          <w:sz w:val="24"/>
          <w:szCs w:val="24"/>
        </w:rPr>
        <w:t>an immunodeficiency virus (HIV) and patients without an HIV diagnosis. </w:t>
      </w:r>
      <w:r w:rsidRPr="00422AA3">
        <w:rPr>
          <w:rFonts w:ascii="Times New Roman" w:hAnsi="Times New Roman" w:cs="Times New Roman"/>
          <w:i/>
          <w:iCs/>
          <w:sz w:val="24"/>
          <w:szCs w:val="24"/>
        </w:rPr>
        <w:t>Substance abuse</w:t>
      </w:r>
      <w:r w:rsidRPr="00422AA3">
        <w:rPr>
          <w:rFonts w:ascii="Times New Roman" w:hAnsi="Times New Roman" w:cs="Times New Roman"/>
          <w:sz w:val="24"/>
          <w:szCs w:val="24"/>
        </w:rPr>
        <w:t>.</w:t>
      </w:r>
    </w:p>
    <w:p w:rsidR="00422AA3" w:rsidRPr="00422AA3" w:rsidRDefault="00CE7A19" w:rsidP="00CD154E">
      <w:pPr>
        <w:ind w:left="720" w:hanging="720"/>
        <w:contextualSpacing/>
        <w:rPr>
          <w:rFonts w:ascii="Times New Roman" w:hAnsi="Times New Roman" w:cs="Times New Roman"/>
          <w:sz w:val="24"/>
          <w:szCs w:val="24"/>
        </w:rPr>
      </w:pPr>
      <w:r w:rsidRPr="00422AA3">
        <w:rPr>
          <w:rFonts w:ascii="Times New Roman" w:hAnsi="Times New Roman" w:cs="Times New Roman"/>
          <w:sz w:val="24"/>
          <w:szCs w:val="24"/>
        </w:rPr>
        <w:t>Oshiro, T., &amp; Bassett, L. W. (2018). An Overview of Digital Mammography Technology and MQSA Requirements. </w:t>
      </w:r>
      <w:r w:rsidRPr="00422AA3">
        <w:rPr>
          <w:rFonts w:ascii="Times New Roman" w:hAnsi="Times New Roman" w:cs="Times New Roman"/>
          <w:i/>
          <w:iCs/>
          <w:sz w:val="24"/>
          <w:szCs w:val="24"/>
        </w:rPr>
        <w:t>Breast Imaging</w:t>
      </w:r>
      <w:r w:rsidRPr="00422AA3">
        <w:rPr>
          <w:rFonts w:ascii="Times New Roman" w:hAnsi="Times New Roman" w:cs="Times New Roman"/>
          <w:sz w:val="24"/>
          <w:szCs w:val="24"/>
        </w:rPr>
        <w:t>, 48.</w:t>
      </w:r>
    </w:p>
    <w:p w:rsidR="00422AA3" w:rsidRPr="00422AA3" w:rsidRDefault="00CE7A19" w:rsidP="00CD154E">
      <w:pPr>
        <w:ind w:left="720" w:hanging="720"/>
        <w:contextualSpacing/>
        <w:rPr>
          <w:rFonts w:ascii="Times New Roman" w:hAnsi="Times New Roman" w:cs="Times New Roman"/>
          <w:sz w:val="24"/>
          <w:szCs w:val="24"/>
        </w:rPr>
      </w:pPr>
      <w:r w:rsidRPr="00422AA3">
        <w:rPr>
          <w:rFonts w:ascii="Times New Roman" w:hAnsi="Times New Roman" w:cs="Times New Roman"/>
          <w:sz w:val="24"/>
          <w:szCs w:val="24"/>
        </w:rPr>
        <w:t>Sadeghi-Demneh, E., Forghany, S., Onmanee</w:t>
      </w:r>
      <w:r w:rsidRPr="00422AA3">
        <w:rPr>
          <w:rFonts w:ascii="Times New Roman" w:hAnsi="Times New Roman" w:cs="Times New Roman"/>
          <w:sz w:val="24"/>
          <w:szCs w:val="24"/>
        </w:rPr>
        <w:t>, P., Trinler, U., Dillon, M. P., &amp; Baker, R. (2018). The influence of standards and clinical guidelines on prosthetic and orthotic service quality: a scoping review. </w:t>
      </w:r>
      <w:r w:rsidRPr="00422AA3">
        <w:rPr>
          <w:rFonts w:ascii="Times New Roman" w:hAnsi="Times New Roman" w:cs="Times New Roman"/>
          <w:i/>
          <w:iCs/>
          <w:sz w:val="24"/>
          <w:szCs w:val="24"/>
        </w:rPr>
        <w:t>Disability and Rehabilitation</w:t>
      </w:r>
      <w:r w:rsidRPr="00422AA3">
        <w:rPr>
          <w:rFonts w:ascii="Times New Roman" w:hAnsi="Times New Roman" w:cs="Times New Roman"/>
          <w:sz w:val="24"/>
          <w:szCs w:val="24"/>
        </w:rPr>
        <w:t>, </w:t>
      </w:r>
      <w:r w:rsidRPr="00422AA3">
        <w:rPr>
          <w:rFonts w:ascii="Times New Roman" w:hAnsi="Times New Roman" w:cs="Times New Roman"/>
          <w:i/>
          <w:iCs/>
          <w:sz w:val="24"/>
          <w:szCs w:val="24"/>
        </w:rPr>
        <w:t>40</w:t>
      </w:r>
      <w:r w:rsidRPr="00422AA3">
        <w:rPr>
          <w:rFonts w:ascii="Times New Roman" w:hAnsi="Times New Roman" w:cs="Times New Roman"/>
          <w:sz w:val="24"/>
          <w:szCs w:val="24"/>
        </w:rPr>
        <w:t>(20), 2458-2465.</w:t>
      </w:r>
    </w:p>
    <w:p w:rsidR="00422AA3" w:rsidRPr="00422AA3" w:rsidRDefault="00CE7A19" w:rsidP="00CD154E">
      <w:pPr>
        <w:ind w:left="720" w:hanging="720"/>
        <w:contextualSpacing/>
        <w:rPr>
          <w:rFonts w:ascii="Times New Roman" w:hAnsi="Times New Roman" w:cs="Times New Roman"/>
          <w:sz w:val="24"/>
          <w:szCs w:val="24"/>
        </w:rPr>
      </w:pPr>
      <w:r w:rsidRPr="00422AA3">
        <w:rPr>
          <w:rFonts w:ascii="Times New Roman" w:hAnsi="Times New Roman" w:cs="Times New Roman"/>
          <w:sz w:val="24"/>
          <w:szCs w:val="24"/>
        </w:rPr>
        <w:t>Simou, E., Pliatsika, P., Koutsogeorgou</w:t>
      </w:r>
      <w:r w:rsidRPr="00422AA3">
        <w:rPr>
          <w:rFonts w:ascii="Times New Roman" w:hAnsi="Times New Roman" w:cs="Times New Roman"/>
          <w:sz w:val="24"/>
          <w:szCs w:val="24"/>
        </w:rPr>
        <w:t>, E., &amp; Roumeliotou, A. (2015). Quality indicators for primary health care: a systematic literature review</w:t>
      </w:r>
      <w:r w:rsidRPr="00422AA3">
        <w:rPr>
          <w:rFonts w:ascii="Times New Roman" w:hAnsi="Times New Roman" w:cs="Times New Roman"/>
          <w:i/>
          <w:iCs/>
          <w:sz w:val="24"/>
          <w:szCs w:val="24"/>
        </w:rPr>
        <w:t>—Journal of Public Health Management and Practice</w:t>
      </w:r>
      <w:r w:rsidRPr="00422AA3">
        <w:rPr>
          <w:rFonts w:ascii="Times New Roman" w:hAnsi="Times New Roman" w:cs="Times New Roman"/>
          <w:sz w:val="24"/>
          <w:szCs w:val="24"/>
        </w:rPr>
        <w:t>, </w:t>
      </w:r>
      <w:r w:rsidRPr="00422AA3">
        <w:rPr>
          <w:rFonts w:ascii="Times New Roman" w:hAnsi="Times New Roman" w:cs="Times New Roman"/>
          <w:i/>
          <w:iCs/>
          <w:sz w:val="24"/>
          <w:szCs w:val="24"/>
        </w:rPr>
        <w:t>21</w:t>
      </w:r>
      <w:r w:rsidRPr="00422AA3">
        <w:rPr>
          <w:rFonts w:ascii="Times New Roman" w:hAnsi="Times New Roman" w:cs="Times New Roman"/>
          <w:sz w:val="24"/>
          <w:szCs w:val="24"/>
        </w:rPr>
        <w:t>(5), E8-E16.</w:t>
      </w:r>
    </w:p>
    <w:p w:rsidR="003633B7" w:rsidRPr="00422AA3" w:rsidRDefault="003633B7" w:rsidP="00422AA3">
      <w:pPr>
        <w:ind w:firstLine="0"/>
        <w:contextualSpacing/>
        <w:rPr>
          <w:rFonts w:ascii="Times New Roman" w:hAnsi="Times New Roman" w:cs="Times New Roman"/>
          <w:sz w:val="24"/>
          <w:szCs w:val="24"/>
        </w:rPr>
      </w:pPr>
    </w:p>
    <w:sectPr w:rsidR="003633B7" w:rsidRPr="00422A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A19" w:rsidRDefault="00CE7A19">
      <w:pPr>
        <w:spacing w:line="240" w:lineRule="auto"/>
      </w:pPr>
      <w:r>
        <w:separator/>
      </w:r>
    </w:p>
  </w:endnote>
  <w:endnote w:type="continuationSeparator" w:id="0">
    <w:p w:rsidR="00CE7A19" w:rsidRDefault="00CE7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A19" w:rsidRDefault="00CE7A19">
      <w:pPr>
        <w:spacing w:line="240" w:lineRule="auto"/>
      </w:pPr>
      <w:r>
        <w:separator/>
      </w:r>
    </w:p>
  </w:footnote>
  <w:footnote w:type="continuationSeparator" w:id="0">
    <w:p w:rsidR="00CE7A19" w:rsidRDefault="00CE7A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371964"/>
      <w:docPartObj>
        <w:docPartGallery w:val="Page Numbers (Top of Page)"/>
        <w:docPartUnique/>
      </w:docPartObj>
    </w:sdtPr>
    <w:sdtEndPr>
      <w:rPr>
        <w:noProof/>
      </w:rPr>
    </w:sdtEndPr>
    <w:sdtContent>
      <w:p w:rsidR="00562066" w:rsidRDefault="00CE7A19">
        <w:pPr>
          <w:pStyle w:val="Header"/>
          <w:jc w:val="right"/>
        </w:pPr>
        <w:r>
          <w:fldChar w:fldCharType="begin"/>
        </w:r>
        <w:r>
          <w:instrText xml:space="preserve"> PAGE   \* ME</w:instrText>
        </w:r>
        <w:r>
          <w:instrText xml:space="preserve">RGEFORMAT </w:instrText>
        </w:r>
        <w:r>
          <w:fldChar w:fldCharType="separate"/>
        </w:r>
        <w:r w:rsidR="002B143E">
          <w:rPr>
            <w:noProof/>
          </w:rPr>
          <w:t>7</w:t>
        </w:r>
        <w:r>
          <w:rPr>
            <w:noProof/>
          </w:rPr>
          <w:fldChar w:fldCharType="end"/>
        </w:r>
      </w:p>
    </w:sdtContent>
  </w:sdt>
  <w:p w:rsidR="00562066" w:rsidRDefault="00562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B7"/>
    <w:rsid w:val="00055B60"/>
    <w:rsid w:val="00066846"/>
    <w:rsid w:val="000852D5"/>
    <w:rsid w:val="00095217"/>
    <w:rsid w:val="000D456E"/>
    <w:rsid w:val="00105C8F"/>
    <w:rsid w:val="00117B8B"/>
    <w:rsid w:val="001221A3"/>
    <w:rsid w:val="00151CE7"/>
    <w:rsid w:val="00171978"/>
    <w:rsid w:val="0018029B"/>
    <w:rsid w:val="00186F52"/>
    <w:rsid w:val="0020499C"/>
    <w:rsid w:val="002630F8"/>
    <w:rsid w:val="002927D4"/>
    <w:rsid w:val="002A5870"/>
    <w:rsid w:val="002B143E"/>
    <w:rsid w:val="00310327"/>
    <w:rsid w:val="003633B7"/>
    <w:rsid w:val="003954AF"/>
    <w:rsid w:val="003C38B3"/>
    <w:rsid w:val="0040421B"/>
    <w:rsid w:val="00422AA3"/>
    <w:rsid w:val="004B5514"/>
    <w:rsid w:val="004D0E1F"/>
    <w:rsid w:val="00502912"/>
    <w:rsid w:val="00562066"/>
    <w:rsid w:val="00572871"/>
    <w:rsid w:val="005770F7"/>
    <w:rsid w:val="00584903"/>
    <w:rsid w:val="00585A8A"/>
    <w:rsid w:val="005E5EE4"/>
    <w:rsid w:val="006302B3"/>
    <w:rsid w:val="0066636B"/>
    <w:rsid w:val="00693E0F"/>
    <w:rsid w:val="006E0921"/>
    <w:rsid w:val="006E1FA8"/>
    <w:rsid w:val="0073078C"/>
    <w:rsid w:val="0073274B"/>
    <w:rsid w:val="00773AF8"/>
    <w:rsid w:val="00793D4E"/>
    <w:rsid w:val="007B0FC8"/>
    <w:rsid w:val="007E21CC"/>
    <w:rsid w:val="007F1946"/>
    <w:rsid w:val="00822706"/>
    <w:rsid w:val="00846617"/>
    <w:rsid w:val="00870D08"/>
    <w:rsid w:val="008D3B7B"/>
    <w:rsid w:val="008E2F55"/>
    <w:rsid w:val="00905D6B"/>
    <w:rsid w:val="00936D2C"/>
    <w:rsid w:val="00937BF8"/>
    <w:rsid w:val="009B16ED"/>
    <w:rsid w:val="00A22688"/>
    <w:rsid w:val="00A25D6F"/>
    <w:rsid w:val="00A27634"/>
    <w:rsid w:val="00A71DEE"/>
    <w:rsid w:val="00A76A6A"/>
    <w:rsid w:val="00AC2907"/>
    <w:rsid w:val="00AE4885"/>
    <w:rsid w:val="00AE52D6"/>
    <w:rsid w:val="00AF7532"/>
    <w:rsid w:val="00B01DE8"/>
    <w:rsid w:val="00B66ED7"/>
    <w:rsid w:val="00B76AE1"/>
    <w:rsid w:val="00B813A4"/>
    <w:rsid w:val="00BA2E08"/>
    <w:rsid w:val="00C5002D"/>
    <w:rsid w:val="00C5020A"/>
    <w:rsid w:val="00CA7C8C"/>
    <w:rsid w:val="00CD154E"/>
    <w:rsid w:val="00CD4C2F"/>
    <w:rsid w:val="00CE7A19"/>
    <w:rsid w:val="00D234C0"/>
    <w:rsid w:val="00D65AE3"/>
    <w:rsid w:val="00D8092B"/>
    <w:rsid w:val="00D97149"/>
    <w:rsid w:val="00DF0F0D"/>
    <w:rsid w:val="00E0101D"/>
    <w:rsid w:val="00E06956"/>
    <w:rsid w:val="00E301DB"/>
    <w:rsid w:val="00E45AC2"/>
    <w:rsid w:val="00E92D08"/>
    <w:rsid w:val="00F32A2B"/>
    <w:rsid w:val="00F34FF9"/>
    <w:rsid w:val="00F47C1B"/>
    <w:rsid w:val="00F506C9"/>
    <w:rsid w:val="00F57399"/>
    <w:rsid w:val="00F71075"/>
    <w:rsid w:val="00F7713D"/>
    <w:rsid w:val="00F920BD"/>
    <w:rsid w:val="00FA0230"/>
    <w:rsid w:val="00FD0C74"/>
    <w:rsid w:val="00FE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63050-FFC0-4F69-BAC0-3325739E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66"/>
    <w:pPr>
      <w:tabs>
        <w:tab w:val="center" w:pos="4680"/>
        <w:tab w:val="right" w:pos="9360"/>
      </w:tabs>
      <w:spacing w:line="240" w:lineRule="auto"/>
    </w:pPr>
  </w:style>
  <w:style w:type="character" w:customStyle="1" w:styleId="HeaderChar">
    <w:name w:val="Header Char"/>
    <w:basedOn w:val="DefaultParagraphFont"/>
    <w:link w:val="Header"/>
    <w:uiPriority w:val="99"/>
    <w:rsid w:val="00562066"/>
  </w:style>
  <w:style w:type="paragraph" w:styleId="Footer">
    <w:name w:val="footer"/>
    <w:basedOn w:val="Normal"/>
    <w:link w:val="FooterChar"/>
    <w:uiPriority w:val="99"/>
    <w:unhideWhenUsed/>
    <w:rsid w:val="00562066"/>
    <w:pPr>
      <w:tabs>
        <w:tab w:val="center" w:pos="4680"/>
        <w:tab w:val="right" w:pos="9360"/>
      </w:tabs>
      <w:spacing w:line="240" w:lineRule="auto"/>
    </w:pPr>
  </w:style>
  <w:style w:type="character" w:customStyle="1" w:styleId="FooterChar">
    <w:name w:val="Footer Char"/>
    <w:basedOn w:val="DefaultParagraphFont"/>
    <w:link w:val="Footer"/>
    <w:uiPriority w:val="99"/>
    <w:rsid w:val="00562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stkimeu@gmail.com</dc:creator>
  <cp:lastModifiedBy>stkimeu@gmail.com</cp:lastModifiedBy>
  <cp:revision>38</cp:revision>
  <dcterms:created xsi:type="dcterms:W3CDTF">2021-06-14T08:10:00Z</dcterms:created>
  <dcterms:modified xsi:type="dcterms:W3CDTF">2021-06-14T14:32:00Z</dcterms:modified>
</cp:coreProperties>
</file>